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C9" w:rsidRDefault="00E418C9" w:rsidP="00B16CD8">
      <w:pPr>
        <w:pStyle w:val="3"/>
        <w:tabs>
          <w:tab w:val="left" w:pos="3384"/>
        </w:tabs>
        <w:jc w:val="center"/>
        <w:rPr>
          <w:rFonts w:eastAsia="Times New Roman"/>
          <w:sz w:val="18"/>
          <w:lang w:eastAsia="ru-RU"/>
        </w:rPr>
      </w:pPr>
    </w:p>
    <w:p w:rsidR="00E418C9" w:rsidRDefault="00E418C9" w:rsidP="00E418C9">
      <w:pPr>
        <w:pStyle w:val="3"/>
        <w:tabs>
          <w:tab w:val="left" w:pos="3384"/>
          <w:tab w:val="left" w:pos="6240"/>
        </w:tabs>
        <w:rPr>
          <w:rFonts w:eastAsia="Times New Roman"/>
          <w:sz w:val="18"/>
          <w:lang w:eastAsia="ru-RU"/>
        </w:rPr>
      </w:pPr>
      <w:r>
        <w:rPr>
          <w:rFonts w:eastAsia="Times New Roman"/>
          <w:sz w:val="18"/>
          <w:lang w:eastAsia="ru-RU"/>
        </w:rPr>
        <w:tab/>
      </w:r>
      <w:r>
        <w:rPr>
          <w:rFonts w:eastAsia="Times New Roman"/>
          <w:sz w:val="18"/>
          <w:lang w:eastAsia="ru-RU"/>
        </w:rPr>
        <w:tab/>
      </w:r>
    </w:p>
    <w:tbl>
      <w:tblPr>
        <w:tblW w:w="0" w:type="auto"/>
        <w:tblInd w:w="959" w:type="dxa"/>
        <w:tblLook w:val="04A0"/>
      </w:tblPr>
      <w:tblGrid>
        <w:gridCol w:w="4536"/>
        <w:gridCol w:w="4536"/>
        <w:gridCol w:w="4819"/>
      </w:tblGrid>
      <w:tr w:rsidR="00E418C9" w:rsidTr="00E418C9">
        <w:trPr>
          <w:trHeight w:val="1769"/>
        </w:trPr>
        <w:tc>
          <w:tcPr>
            <w:tcW w:w="4536" w:type="dxa"/>
          </w:tcPr>
          <w:p w:rsidR="00E418C9" w:rsidRDefault="00E418C9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Согласовано.</w:t>
            </w:r>
          </w:p>
          <w:p w:rsidR="00E418C9" w:rsidRDefault="006E2CDA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На общем </w:t>
            </w:r>
            <w:proofErr w:type="spellStart"/>
            <w:r>
              <w:rPr>
                <w:rFonts w:cstheme="minorHAnsi"/>
                <w:color w:val="000000"/>
              </w:rPr>
              <w:t>собранити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E418C9">
              <w:rPr>
                <w:rFonts w:cstheme="minorHAnsi"/>
                <w:color w:val="000000"/>
              </w:rPr>
              <w:t>трудового коллектива</w:t>
            </w:r>
          </w:p>
          <w:p w:rsidR="00E418C9" w:rsidRDefault="006E2CDA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</w:p>
          <w:p w:rsidR="00E418C9" w:rsidRDefault="00E418C9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«___»__</w:t>
            </w:r>
            <w:r>
              <w:rPr>
                <w:rFonts w:cstheme="minorHAnsi"/>
                <w:color w:val="000000"/>
                <w:u w:val="single"/>
              </w:rPr>
              <w:t>_____</w:t>
            </w:r>
            <w:r w:rsidR="009D6D02">
              <w:rPr>
                <w:rFonts w:cstheme="minorHAnsi"/>
                <w:color w:val="000000"/>
              </w:rPr>
              <w:t>__201</w:t>
            </w:r>
            <w:r w:rsidR="009D6D02">
              <w:rPr>
                <w:rFonts w:cstheme="minorHAnsi"/>
                <w:color w:val="000000"/>
                <w:lang w:val="en-US"/>
              </w:rPr>
              <w:t>7</w:t>
            </w:r>
            <w:r>
              <w:rPr>
                <w:rFonts w:cstheme="minorHAnsi"/>
                <w:color w:val="000000"/>
              </w:rPr>
              <w:t>г.</w:t>
            </w:r>
          </w:p>
          <w:p w:rsidR="00E418C9" w:rsidRDefault="00E418C9" w:rsidP="002A5D1B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E418C9" w:rsidRDefault="00E418C9" w:rsidP="002A5D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4819" w:type="dxa"/>
          </w:tcPr>
          <w:p w:rsidR="00E418C9" w:rsidRDefault="00E418C9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Утверждаю.</w:t>
            </w:r>
          </w:p>
          <w:p w:rsidR="00E418C9" w:rsidRDefault="006E2CDA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Директор МКУ ДО</w:t>
            </w:r>
            <w:r w:rsidR="00E418C9">
              <w:rPr>
                <w:rFonts w:cstheme="minorHAnsi"/>
                <w:color w:val="000000"/>
              </w:rPr>
              <w:t xml:space="preserve"> «ДЮСШ»</w:t>
            </w:r>
          </w:p>
          <w:p w:rsidR="00E418C9" w:rsidRDefault="006E2CDA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Алимов С. А.</w:t>
            </w:r>
            <w:r w:rsidR="00E418C9">
              <w:rPr>
                <w:rFonts w:cstheme="minorHAnsi"/>
                <w:color w:val="000000"/>
              </w:rPr>
              <w:t xml:space="preserve"> ______________</w:t>
            </w:r>
          </w:p>
          <w:p w:rsidR="00E418C9" w:rsidRDefault="00E418C9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</w:t>
            </w:r>
            <w:r>
              <w:rPr>
                <w:rFonts w:cstheme="minorHAnsi"/>
                <w:color w:val="000000"/>
                <w:u w:val="single"/>
              </w:rPr>
              <w:t>_</w:t>
            </w:r>
            <w:r>
              <w:rPr>
                <w:rFonts w:cstheme="minorHAnsi"/>
                <w:color w:val="000000"/>
              </w:rPr>
              <w:t>_»__</w:t>
            </w:r>
            <w:r>
              <w:rPr>
                <w:rFonts w:cstheme="minorHAnsi"/>
                <w:color w:val="000000"/>
                <w:u w:val="single"/>
              </w:rPr>
              <w:t>___</w:t>
            </w:r>
            <w:r w:rsidR="009D6D02">
              <w:rPr>
                <w:rFonts w:cstheme="minorHAnsi"/>
                <w:color w:val="000000"/>
              </w:rPr>
              <w:t>______________2017</w:t>
            </w:r>
            <w:r>
              <w:rPr>
                <w:rFonts w:cstheme="minorHAnsi"/>
                <w:color w:val="000000"/>
              </w:rPr>
              <w:t>г.</w:t>
            </w:r>
          </w:p>
          <w:p w:rsidR="00E418C9" w:rsidRDefault="00E418C9" w:rsidP="002A5D1B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E418C9" w:rsidRDefault="00E418C9" w:rsidP="00E418C9">
      <w:pPr>
        <w:shd w:val="clear" w:color="auto" w:fill="FFFFFF"/>
        <w:tabs>
          <w:tab w:val="left" w:pos="6576"/>
        </w:tabs>
        <w:spacing w:before="24" w:after="24" w:line="240" w:lineRule="auto"/>
        <w:rPr>
          <w:rFonts w:ascii="Arial" w:eastAsia="Times New Roman" w:hAnsi="Arial" w:cs="Arial"/>
          <w:b/>
          <w:bCs/>
          <w:color w:val="000000"/>
          <w:sz w:val="28"/>
          <w:szCs w:val="36"/>
          <w:lang w:eastAsia="ru-RU"/>
        </w:rPr>
      </w:pPr>
    </w:p>
    <w:p w:rsidR="00E418C9" w:rsidRDefault="00E418C9" w:rsidP="00E418C9">
      <w:pPr>
        <w:pStyle w:val="3"/>
        <w:tabs>
          <w:tab w:val="left" w:pos="3384"/>
          <w:tab w:val="left" w:pos="6240"/>
        </w:tabs>
        <w:rPr>
          <w:rFonts w:eastAsia="Times New Roman"/>
          <w:sz w:val="18"/>
          <w:lang w:eastAsia="ru-RU"/>
        </w:rPr>
      </w:pPr>
    </w:p>
    <w:p w:rsidR="00D842BD" w:rsidRPr="006E2CDA" w:rsidRDefault="00D842BD" w:rsidP="00B16CD8">
      <w:pPr>
        <w:pStyle w:val="3"/>
        <w:tabs>
          <w:tab w:val="left" w:pos="3384"/>
        </w:tabs>
        <w:jc w:val="center"/>
        <w:rPr>
          <w:rFonts w:eastAsia="Times New Roman"/>
          <w:color w:val="000000" w:themeColor="text1"/>
          <w:sz w:val="44"/>
          <w:szCs w:val="27"/>
          <w:lang w:eastAsia="ru-RU"/>
        </w:rPr>
      </w:pPr>
      <w:r w:rsidRPr="006E2CDA">
        <w:rPr>
          <w:rFonts w:eastAsia="Times New Roman"/>
          <w:color w:val="000000" w:themeColor="text1"/>
          <w:sz w:val="36"/>
          <w:lang w:eastAsia="ru-RU"/>
        </w:rPr>
        <w:t>ОБРАЗОВАТЕЛЬНАЯ ПРОГРАММ</w:t>
      </w:r>
      <w:r w:rsidR="000A0FF4" w:rsidRPr="006E2CDA">
        <w:rPr>
          <w:rFonts w:eastAsia="Times New Roman"/>
          <w:color w:val="000000" w:themeColor="text1"/>
          <w:sz w:val="36"/>
          <w:lang w:eastAsia="ru-RU"/>
        </w:rPr>
        <w:t>А</w:t>
      </w:r>
    </w:p>
    <w:p w:rsidR="00D842BD" w:rsidRPr="00E418C9" w:rsidRDefault="006E2CDA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Муниципального казенного</w:t>
      </w:r>
      <w:r w:rsidR="00D842BD" w:rsidRPr="00E418C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 учреждения</w:t>
      </w:r>
    </w:p>
    <w:p w:rsidR="00D842BD" w:rsidRPr="00E418C9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E418C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дополнительного образования </w:t>
      </w:r>
    </w:p>
    <w:p w:rsidR="000A0FF4" w:rsidRPr="00E418C9" w:rsidRDefault="002A5D1B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</w:t>
      </w:r>
      <w:r w:rsidR="006E2CD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proofErr w:type="spellStart"/>
      <w:r w:rsidR="006E2CD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Новолаская</w:t>
      </w:r>
      <w:proofErr w:type="spellEnd"/>
      <w:r w:rsidR="006E2CD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proofErr w:type="spellStart"/>
      <w:proofErr w:type="gramStart"/>
      <w:r w:rsidR="006E2CD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r w:rsidR="00D842BD" w:rsidRPr="00E418C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юношеская</w:t>
      </w:r>
      <w:proofErr w:type="gramEnd"/>
      <w:r w:rsidR="00D842BD" w:rsidRPr="00E418C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спортивная школа</w:t>
      </w:r>
      <w:r w:rsidR="006E2CD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№1 </w:t>
      </w:r>
      <w:r w:rsidR="00D842BD" w:rsidRPr="00E418C9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»</w:t>
      </w:r>
    </w:p>
    <w:p w:rsidR="00E418C9" w:rsidRP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8C9" w:rsidRPr="00EA139D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418C9" w:rsidRPr="00EA139D" w:rsidRDefault="00E418C9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842BD" w:rsidRPr="00EA139D" w:rsidRDefault="00D842BD" w:rsidP="002E3B3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 ОБОСНОВАНИЕ ОБРАЗОВАТЕЛЬНОЙ ПРОГРАММЫ</w:t>
      </w:r>
    </w:p>
    <w:p w:rsidR="00D842BD" w:rsidRPr="00EA139D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ПОЯСНИТЕЛЬНАЯ ЗАПИСКА</w:t>
      </w:r>
    </w:p>
    <w:p w:rsidR="00D842BD" w:rsidRPr="00EA139D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 ОБРАЗОВАТЕЛЬНАЯ ПРОГРАММА</w:t>
      </w:r>
    </w:p>
    <w:p w:rsidR="00D842BD" w:rsidRPr="00EA139D" w:rsidRDefault="00D842BD" w:rsidP="00B16CD8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Цель образовательной программы, задачи, направления деятельности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Основные принципы деятельности педагогического коллектива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3.3. Особенности содержания образования в 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МКУ ДО «Новолакская ДЮСШ №1»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3.4. Особенности организации образовательного процесса в 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МКУ ДО «Новолакская ДЮСШ №1»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3.5. Этапы и формы контроля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3.6. Особенности программно-методического оснащения образовательного процесса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3.7. Особенности управления реализацией образовательной программы:</w:t>
      </w:r>
    </w:p>
    <w:p w:rsidR="00D842BD" w:rsidRPr="00EA139D" w:rsidRDefault="00D842BD" w:rsidP="00B16CD8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3.7.1. Нормативный блок</w:t>
      </w:r>
    </w:p>
    <w:p w:rsidR="00D842BD" w:rsidRPr="00EA139D" w:rsidRDefault="00D842BD" w:rsidP="0039179C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3.7.2. Показатели оценки деятельности педагогического коллектива по реализации образовательной </w:t>
      </w:r>
      <w:proofErr w:type="spell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программы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ч</w:t>
      </w:r>
      <w:proofErr w:type="spell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 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МКУ ДО «Новолакская ДЮСШ №1»</w:t>
      </w:r>
    </w:p>
    <w:p w:rsidR="00D842BD" w:rsidRPr="00EA139D" w:rsidRDefault="00D842BD" w:rsidP="0039179C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3.7.3. Методика оценивания результата реализации образовател</w:t>
      </w:r>
      <w:r w:rsidR="0039179C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ьной программы МБОУ ДОД ДЮСШ  </w:t>
      </w:r>
      <w:r w:rsidR="009D6D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2017 – 201</w:t>
      </w:r>
      <w:r w:rsidR="009D6D02" w:rsidRPr="009D6D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9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учебные годы</w:t>
      </w:r>
    </w:p>
    <w:p w:rsidR="00D842BD" w:rsidRPr="00EA139D" w:rsidRDefault="00D842BD" w:rsidP="00B16CD8">
      <w:pPr>
        <w:spacing w:before="100" w:beforeAutospacing="1" w:after="0" w:line="24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П</w:t>
      </w:r>
      <w:r w:rsidR="00D31149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РИЛОЖЕНИЯ:</w:t>
      </w:r>
    </w:p>
    <w:p w:rsidR="00D842BD" w:rsidRPr="00EA139D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lang w:eastAsia="ru-RU"/>
        </w:rPr>
        <w:t>Приложение №</w:t>
      </w:r>
      <w:r w:rsidR="002A5D1B" w:rsidRPr="00EA139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lang w:eastAsia="ru-RU"/>
        </w:rPr>
        <w:t>1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 Учебный план на 201</w:t>
      </w:r>
      <w:r w:rsidR="009D6D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ru-RU"/>
        </w:rPr>
        <w:t>17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-201</w:t>
      </w:r>
      <w:r w:rsidR="009D6D02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US" w:eastAsia="ru-RU"/>
        </w:rPr>
        <w:t>8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учебный год </w:t>
      </w:r>
    </w:p>
    <w:p w:rsidR="0039179C" w:rsidRPr="00EA139D" w:rsidRDefault="0039179C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418C9" w:rsidRPr="00EA139D" w:rsidRDefault="00E418C9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418C9" w:rsidRPr="00EA139D" w:rsidRDefault="00E418C9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418C9" w:rsidRPr="00EA139D" w:rsidRDefault="00E418C9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418C9" w:rsidRPr="00EA139D" w:rsidRDefault="00E418C9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842BD" w:rsidRPr="00EA139D" w:rsidRDefault="00C412EE" w:rsidP="00C412E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</w:t>
      </w:r>
      <w:r w:rsidR="00D842BD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ОБОСНОВАНИЕ ОБРАЗОВАТЕЛЬНОЙ ПРОГРАММЫ</w:t>
      </w:r>
    </w:p>
    <w:p w:rsidR="00D842BD" w:rsidRPr="00EA139D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 Образовательная программа муниципального бюджетного образовательного учреждения дополнительного образования детей «Детск</w:t>
      </w:r>
      <w:r w:rsidR="0039179C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ая 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юношеская спортивная школа» разработана на основании закона Российской Федерации «Об образовании», Устава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МКУ ДО «Новолакская ДЮСШ №1»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, Закона Российской Федерации «О физической культуре и спорте в Российской Федерации». Настоящая программа является нормативно-управленческим документом, характеризующим специфику содержания образования и особенности организации образовательного процесса в муниципальном бюджетном образовательном учреждении дополнительного образования детей. </w:t>
      </w:r>
    </w:p>
    <w:p w:rsidR="00D842BD" w:rsidRPr="00EA139D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ПОЯСНИТЕЛЬНАЯ ЗАПИСКА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 Физкультурно-спортивное направление деятельности 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МКУ ДО «Новолакская ДЮСШ №1» </w:t>
      </w:r>
      <w:proofErr w:type="spellStart"/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соо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тветствует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</w:t>
      </w:r>
      <w:proofErr w:type="spellEnd"/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Лицензии и реализуется по семи 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видам спорта: 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боксу, дзюдо,</w:t>
      </w:r>
      <w:proofErr w:type="gramStart"/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527BB8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,</w:t>
      </w:r>
      <w:proofErr w:type="gramEnd"/>
      <w:r w:rsidR="00527BB8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футбол, волейбол, вольная борьба,</w:t>
      </w:r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proofErr w:type="spellStart"/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настолный</w:t>
      </w:r>
      <w:proofErr w:type="spellEnd"/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теннис, каратэ </w:t>
      </w:r>
      <w:proofErr w:type="spellStart"/>
      <w:r w:rsidR="006E2CDA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киокушонкай</w:t>
      </w:r>
      <w:proofErr w:type="spellEnd"/>
      <w:r w:rsidR="00527BB8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Основной целью развития спортивной школы является создание условий для самосовершенствования обучающихся, их профессионального самоопределения, формирования здорового образа жизни, достижения уровня спортивных успехов сообразно способностям, развития личности ребенка как неотъемлемой ценности и уникальности.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Для достижения данной цели спортивная школа решает следующие задачи:</w:t>
      </w:r>
    </w:p>
    <w:p w:rsidR="000A0FF4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 </w:t>
      </w:r>
      <w:proofErr w:type="gram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Познавательную</w:t>
      </w:r>
      <w:proofErr w:type="gram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– развитие познавательного интереса.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2. </w:t>
      </w:r>
      <w:proofErr w:type="gram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Развивающую</w:t>
      </w:r>
      <w:proofErr w:type="gram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– создание комфортной обстановки, атмосферы доброжелательности и сотрудничества, способствующей развитию личности ребенка.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3. Социально – </w:t>
      </w:r>
      <w:proofErr w:type="gram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педагогическую</w:t>
      </w:r>
      <w:proofErr w:type="gram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– формирование общественной активности обучающихся, их реализации в социуме.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 </w:t>
      </w:r>
      <w:proofErr w:type="gram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Обучающую</w:t>
      </w:r>
      <w:proofErr w:type="gram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– формирование специальных знаний, умений, удовлетворение образовательных потребностей.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5. </w:t>
      </w:r>
      <w:proofErr w:type="gram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Эстетическую</w:t>
      </w:r>
      <w:proofErr w:type="gram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– привитие эстетического вкуса, потребности в прекрасном.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6. </w:t>
      </w:r>
      <w:proofErr w:type="gramStart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Оздоровительную</w:t>
      </w:r>
      <w:proofErr w:type="gramEnd"/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– формирование здорового образа жизни.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Главным условием выполнения этих задач является многолетняя и целенаправленная подготовка юных спортсменов.</w:t>
      </w:r>
    </w:p>
    <w:p w:rsidR="00D842BD" w:rsidRPr="00EA139D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Планируемый результат: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1. Сохранность контингента воспитанников - </w:t>
      </w:r>
      <w:r w:rsidR="00527BB8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75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%;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Динамика прироста индивидуальных показателей в выбранном виде спорта – 7</w:t>
      </w:r>
      <w:r w:rsidR="00527BB8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0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%;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 Выполнение программных требований по уровню подготовленности занимающихся, выраженных в количественных показателях физического развития, технической, тактической, интегральной и теоретической подготовки;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Выполнение нормативных требований по уровню подготовленности и спортивного разряда;</w:t>
      </w:r>
    </w:p>
    <w:p w:rsidR="000A0FF4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5. Знание воспитанниками своих прав и умение применять их в жизни.</w:t>
      </w:r>
      <w:r w:rsidR="000A0FF4"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</w:p>
    <w:p w:rsidR="00527BB8" w:rsidRPr="00EA139D" w:rsidRDefault="000A0FF4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</w:t>
      </w:r>
    </w:p>
    <w:p w:rsidR="00D842BD" w:rsidRPr="00EA139D" w:rsidRDefault="00D842BD" w:rsidP="00C412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ОБРАЗОВАТЕЛЬНАЯ ПРОГРАММА</w:t>
      </w:r>
    </w:p>
    <w:p w:rsidR="00D842BD" w:rsidRPr="00EA139D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 Цель образовательной программы:</w:t>
      </w:r>
      <w:r w:rsidRPr="00EA139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 </w:t>
      </w: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«Совершенствование комплекса психолого-педагогических условий, обеспечивающих удовлетворение постоянно изменяющихся потребностей и запросов детей и социума».</w:t>
      </w:r>
    </w:p>
    <w:p w:rsidR="00D842BD" w:rsidRPr="00EA139D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Достижение целей образовательной программы планируется через реализацию задач и направлений деятельности, указанных в таблице 1.</w:t>
      </w:r>
    </w:p>
    <w:p w:rsidR="00D31149" w:rsidRDefault="00D842BD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Задачи и направления деятельности</w:t>
      </w:r>
    </w:p>
    <w:p w:rsidR="00D842BD" w:rsidRPr="00D31149" w:rsidRDefault="00D842BD" w:rsidP="00D3114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84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</w:p>
    <w:tbl>
      <w:tblPr>
        <w:tblW w:w="153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2419"/>
        <w:gridCol w:w="3966"/>
        <w:gridCol w:w="8945"/>
      </w:tblGrid>
      <w:tr w:rsidR="00D842BD" w:rsidRPr="000A0FF4" w:rsidTr="00B4724A">
        <w:trPr>
          <w:trHeight w:val="33"/>
          <w:tblCellSpacing w:w="0" w:type="dxa"/>
        </w:trPr>
        <w:tc>
          <w:tcPr>
            <w:tcW w:w="2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3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деятельности</w:t>
            </w:r>
          </w:p>
        </w:tc>
        <w:tc>
          <w:tcPr>
            <w:tcW w:w="8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D842BD" w:rsidRPr="000A0FF4" w:rsidTr="00C412EE">
        <w:trPr>
          <w:trHeight w:val="439"/>
          <w:tblCellSpacing w:w="0" w:type="dxa"/>
        </w:trPr>
        <w:tc>
          <w:tcPr>
            <w:tcW w:w="2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Совершенствовать работу методической службы в целях адаптации воспитанников к современным условиям.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B30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повышение уровня профессионализма тренеров-преподавателей в управлении организацией образовательного процесса;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программно - методическое обеспечение образовательного процесса;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мониторинг результатов практической деятельности педагогических работников;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повышение эффективности педагогического процесса и обеспечение качества образования;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тренеры-преподаватели повышают свою педагогическую квалификацию через курсовую переподготовку;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тренеры-преподаватели ежегодно участвуют в педагогических семинарах (школьных, городских, </w:t>
            </w:r>
            <w:r w:rsidR="0052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республиканских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-наличие программно-методического обеспечения, соответствующего современным требованиям;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достоверной информации о результатах практической деятельности, способствующей развитию действенной методической среды;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достижение планируемого результата </w:t>
            </w:r>
            <w:proofErr w:type="gram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842BD" w:rsidRPr="000A0FF4" w:rsidRDefault="00D842BD" w:rsidP="00B16CD8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положительной динамике спортивных достижений воспитанников;</w:t>
            </w:r>
          </w:p>
          <w:p w:rsidR="00D842BD" w:rsidRPr="000A0FF4" w:rsidRDefault="00D842BD" w:rsidP="00B16CD8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положительной динамике развития личностных качеств обучающихся;</w:t>
            </w:r>
          </w:p>
          <w:p w:rsidR="00D842BD" w:rsidRPr="000A0FF4" w:rsidRDefault="00D842BD" w:rsidP="00B16CD8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положительной динамике результатов диагностики по ОФП и СФП;</w:t>
            </w:r>
          </w:p>
          <w:p w:rsidR="00D842BD" w:rsidRPr="000A0FF4" w:rsidRDefault="00D842BD" w:rsidP="00B16C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снижению заболеваемости воспитанников</w:t>
            </w:r>
          </w:p>
        </w:tc>
      </w:tr>
      <w:tr w:rsidR="00D842BD" w:rsidRPr="000A0FF4" w:rsidTr="00B4724A">
        <w:trPr>
          <w:trHeight w:val="696"/>
          <w:tblCellSpacing w:w="0" w:type="dxa"/>
        </w:trPr>
        <w:tc>
          <w:tcPr>
            <w:tcW w:w="2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B30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Формировать и развивать потребности воспитанников в систематических занятиях физкультурой и спортом, здоровом образе жизни.</w:t>
            </w:r>
          </w:p>
          <w:p w:rsidR="002E3B30" w:rsidRPr="002E3B30" w:rsidRDefault="002E3B30" w:rsidP="002E3B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2BD" w:rsidRPr="002E3B30" w:rsidRDefault="00D842BD" w:rsidP="002E3B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учебно-тренировочного процесса с учетом возрастных особенностей и санитарно-гигиенических норм;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разнообразных форм спортивно-массовой работы;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2E3B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организация работы по коррекции состояния здоровья воспитанников;</w:t>
            </w:r>
          </w:p>
        </w:tc>
        <w:tc>
          <w:tcPr>
            <w:tcW w:w="8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Добиться:</w:t>
            </w:r>
          </w:p>
          <w:p w:rsidR="00D842BD" w:rsidRPr="000A0FF4" w:rsidRDefault="00D842BD" w:rsidP="00B16CD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сохранности контингента воспитанников – </w:t>
            </w:r>
            <w:r w:rsidR="0052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%;</w:t>
            </w:r>
          </w:p>
          <w:p w:rsidR="00D842BD" w:rsidRPr="000A0FF4" w:rsidRDefault="00D842BD" w:rsidP="00B16CD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 контрольных нормативов 7</w:t>
            </w:r>
            <w:r w:rsidR="0052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Овладеть:</w:t>
            </w:r>
          </w:p>
          <w:p w:rsidR="00D842BD" w:rsidRPr="000A0FF4" w:rsidRDefault="00D842BD" w:rsidP="00B16CD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практическими умениями и навыками в проведении спортивно-массовых мероприятий, судейства;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Разработать:</w:t>
            </w:r>
          </w:p>
          <w:p w:rsidR="002E3B30" w:rsidRPr="002E3B30" w:rsidRDefault="00D842BD" w:rsidP="002E3B30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учебные планы для</w:t>
            </w:r>
            <w:r w:rsidR="002A5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воспитанников по результатам углубленного медицинского осмотра с целью снижения заболеваемости детей.</w:t>
            </w:r>
          </w:p>
        </w:tc>
      </w:tr>
      <w:tr w:rsidR="00D842BD" w:rsidRPr="000A0FF4" w:rsidTr="00B4724A">
        <w:trPr>
          <w:trHeight w:val="266"/>
          <w:tblCellSpacing w:w="0" w:type="dxa"/>
        </w:trPr>
        <w:tc>
          <w:tcPr>
            <w:tcW w:w="2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физических качеств, индивидуальных способностей личности к саморазвитию, самоопределению.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2E3B30" w:rsidRDefault="00D842BD" w:rsidP="002E3B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внедрение в образовательн</w:t>
            </w:r>
            <w:r w:rsidR="002A5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процесс личностно-ориентирова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нных педагогических технологий;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развитие традиций спортивной школы;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организация проф</w:t>
            </w:r>
            <w:proofErr w:type="gramStart"/>
            <w:r w:rsidR="002A5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риентационной работы;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подготовка воспитанников к участию в соревнованиях разного уровня по видам спорта;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E3B30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развитие знаний по правовой культуре воспитанников;</w:t>
            </w:r>
          </w:p>
          <w:p w:rsidR="00D842BD" w:rsidRPr="002E3B30" w:rsidRDefault="00D842BD" w:rsidP="002E3B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положительная динамика достижений воспитанников:</w:t>
            </w:r>
          </w:p>
          <w:p w:rsidR="00D842BD" w:rsidRPr="000A0FF4" w:rsidRDefault="00D842BD" w:rsidP="00B16CD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индивидуального маршрута физической подготовки спортсменов;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школьных традиций:</w:t>
            </w:r>
          </w:p>
          <w:p w:rsidR="00D842BD" w:rsidRPr="000A0FF4" w:rsidRDefault="00D842BD" w:rsidP="00B16CD8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посвящение в спортсмены;</w:t>
            </w:r>
          </w:p>
          <w:p w:rsidR="00D842BD" w:rsidRPr="000A0FF4" w:rsidRDefault="00D842BD" w:rsidP="00B16CD8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чествование спортсменов – победителей, лучших воспитанников и их родителей;</w:t>
            </w:r>
          </w:p>
          <w:p w:rsid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привлечение 50 % воспитанников к работе по проведению традиционных мероприятий;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участие 9</w:t>
            </w:r>
            <w:r w:rsidR="00527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воспитанников в спортивно-массовых мероприятиях;</w:t>
            </w:r>
          </w:p>
          <w:p w:rsid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увеличение количества воспитанников, поступающих в педагогические учебные заведения спортивной направленности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инструкторско-судейской практики воспитанниками УТГ;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динамика спортивных личных достижений в выбранном виде спорта - 50% детей;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знание основ ЗОЖ, способов </w:t>
            </w:r>
            <w:proofErr w:type="spell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восстановительных и коррекционных методик;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положительная динамика развития личностных качеств (</w:t>
            </w:r>
            <w:proofErr w:type="spell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деятельностно-коммуникативной</w:t>
            </w:r>
            <w:proofErr w:type="spell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ценностно-ориентационной</w:t>
            </w:r>
            <w:proofErr w:type="gram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составляющих);</w:t>
            </w:r>
          </w:p>
          <w:p w:rsidR="00D842BD" w:rsidRPr="002E3B30" w:rsidRDefault="00D842BD" w:rsidP="002E3B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знание воспитанниками своих прав и умение применять их в жизни.</w:t>
            </w:r>
          </w:p>
        </w:tc>
      </w:tr>
      <w:tr w:rsidR="00D842BD" w:rsidRPr="000A0FF4" w:rsidTr="00B4724A">
        <w:trPr>
          <w:trHeight w:val="726"/>
          <w:tblCellSpacing w:w="0" w:type="dxa"/>
        </w:trPr>
        <w:tc>
          <w:tcPr>
            <w:tcW w:w="2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 Развивать механизмы, обеспечивающие расширение взаимодействия всех субъектов образовательного процесса.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1149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развитие форм государственно-общественного управления;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реализация целевого проекта «Возможности и условия участия родителей в процессе оценивания достижений воспитанников»;</w:t>
            </w:r>
          </w:p>
          <w:p w:rsidR="00D31149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привлечение детей к управлению детскими отделениями;</w:t>
            </w:r>
            <w:r w:rsidR="00D31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31149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842BD"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форм общения участников образовательного процесса.</w:t>
            </w:r>
          </w:p>
        </w:tc>
        <w:tc>
          <w:tcPr>
            <w:tcW w:w="8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родительских комитетов в группах и общешкольного родительского комитета;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созданы детские активы во всех группах и отделениях;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знание воспитанниками норм, правил общения и управления;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участие всех субъектов образования в управлении реализацией образовательной программы.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842BD" w:rsidRPr="000A0FF4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842BD" w:rsidRPr="00D31149" w:rsidRDefault="00D842BD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Кадровый состав</w:t>
      </w:r>
      <w:r w:rsidR="00EA139D" w:rsidRP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D842BD" w:rsidRPr="00D31149" w:rsidRDefault="00D842BD" w:rsidP="00D31149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Кадровый состав позволяет реализовать образовательную программу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</w:p>
    <w:p w:rsidR="00D842BD" w:rsidRPr="000A0FF4" w:rsidRDefault="00D842BD" w:rsidP="00B16CD8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2</w:t>
      </w:r>
    </w:p>
    <w:p w:rsidR="00527BB8" w:rsidRPr="00D31149" w:rsidRDefault="00D842BD" w:rsidP="002A5D1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Характеристика педагогического коллектива</w:t>
      </w:r>
    </w:p>
    <w:p w:rsidR="002A5D1B" w:rsidRPr="000A0FF4" w:rsidRDefault="002A5D1B" w:rsidP="002A5D1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6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3727"/>
        <w:gridCol w:w="3740"/>
        <w:gridCol w:w="3177"/>
      </w:tblGrid>
      <w:tr w:rsidR="00D842BD" w:rsidRPr="000A0FF4" w:rsidTr="00B16CD8">
        <w:trPr>
          <w:tblCellSpacing w:w="0" w:type="dxa"/>
        </w:trPr>
        <w:tc>
          <w:tcPr>
            <w:tcW w:w="3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Штатные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Совместители</w:t>
            </w:r>
          </w:p>
        </w:tc>
      </w:tr>
      <w:tr w:rsidR="00D842BD" w:rsidRPr="000A0FF4" w:rsidTr="00B16CD8">
        <w:trPr>
          <w:tblCellSpacing w:w="0" w:type="dxa"/>
        </w:trPr>
        <w:tc>
          <w:tcPr>
            <w:tcW w:w="3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9D6D02" w:rsidRDefault="00D842BD" w:rsidP="0052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9D6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 w:rsidR="009D6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9D6D02" w:rsidRDefault="009D6D02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9D6D02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D842BD" w:rsidRPr="000A0FF4" w:rsidRDefault="00D842BD" w:rsidP="00D3114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A5D1B" w:rsidRDefault="00D842BD" w:rsidP="002A5D1B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3</w:t>
      </w:r>
    </w:p>
    <w:p w:rsidR="00D842BD" w:rsidRPr="00D31149" w:rsidRDefault="002A5D1B" w:rsidP="002A5D1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</w:t>
      </w:r>
      <w:r w:rsidR="00D842B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Характеристика квалификационных категорий</w:t>
      </w:r>
    </w:p>
    <w:p w:rsidR="00D842BD" w:rsidRPr="00D31149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педагогического коллектива</w:t>
      </w:r>
    </w:p>
    <w:tbl>
      <w:tblPr>
        <w:tblW w:w="1066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1879"/>
        <w:gridCol w:w="2050"/>
        <w:gridCol w:w="2323"/>
        <w:gridCol w:w="2501"/>
        <w:gridCol w:w="1915"/>
      </w:tblGrid>
      <w:tr w:rsidR="00D842BD" w:rsidRPr="000A0FF4" w:rsidTr="00B16CD8">
        <w:trPr>
          <w:tblCellSpacing w:w="0" w:type="dxa"/>
        </w:trPr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высшей квалификационной категорией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 </w:t>
            </w:r>
            <w:proofErr w:type="gramStart"/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gramEnd"/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квалификационной категорией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 </w:t>
            </w:r>
            <w:proofErr w:type="gramStart"/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proofErr w:type="gramEnd"/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квалификационной категорией</w:t>
            </w: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категории</w:t>
            </w:r>
          </w:p>
        </w:tc>
      </w:tr>
      <w:tr w:rsidR="00D842BD" w:rsidRPr="000A0FF4" w:rsidTr="00B16CD8">
        <w:trPr>
          <w:tblCellSpacing w:w="0" w:type="dxa"/>
        </w:trPr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9D6D02" w:rsidRDefault="00D842BD" w:rsidP="0052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9D6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 w:rsidR="009D6D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527BB8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9D6D02" w:rsidRDefault="009D6D02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9D6D02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9D6D02" w:rsidRDefault="009D6D02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</w:tbl>
    <w:p w:rsidR="00C412EE" w:rsidRDefault="00C412EE" w:rsidP="00C412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C412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C412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42BD" w:rsidRPr="00FE40D8" w:rsidRDefault="00D842BD" w:rsidP="00C412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E40D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Основные принципы деятельности педагогического коллектива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педагогического коллектива в 201</w:t>
      </w:r>
      <w:r w:rsidR="00F3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</w:t>
      </w:r>
      <w:r w:rsidR="00F3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учебном году строится в соответствии с основными принципами, определяющими процесс воспитания и обучения. В связи со специфическими особенностями занятий физическими упражнениями принципы в области физического воспитания и спортивной подготовки в МБОУ ДОД ДЮСШ получили особое содержание. Они отражают такие закономерности, как целостность организма человека и его единства с внешней средой, соответствие нагрузок функциональным и адаптационным возможностям воспитанника, регулярность тренировок, их вариативность, гармоническую взаимосвязь со специальной подготовкой, компенсационные и восстановительные мероприятия.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их вышесказанного, педагогический коллектив руководствуется в своей деятельности следующими основными принципами: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Принцип системности.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Принцип вариативности.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Принцип преемственности.</w:t>
      </w:r>
    </w:p>
    <w:p w:rsidR="00D842BD" w:rsidRPr="002A5D1B" w:rsidRDefault="00D842BD" w:rsidP="002A5D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Особенности содержания образования в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A5D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Приоритетными направлениями образовательной деятельности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педагогического коллектива определены:</w:t>
      </w:r>
      <w:proofErr w:type="gramEnd"/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физическое воспитание, направленное на достижение спортивных результатов, спортивного мастерства каждым воспитанником в соответствии со своими возможностями и способностями;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proofErr w:type="spell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валеологическое</w:t>
      </w:r>
      <w:proofErr w:type="spell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воспитание, направленное на формирование здорового образа жизни;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патриотическое воспитание, направленное на формирование гражданской позиции, основанной на уважении прав и свобод человека и гражданина, нравственных идеалов и патриотизма;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 этическое воспитание, направленное на формирование осознанного отношения к общечеловеческим ценностям.</w:t>
      </w:r>
    </w:p>
    <w:p w:rsidR="00D842BD" w:rsidRPr="000A0FF4" w:rsidRDefault="00D842BD" w:rsidP="00B16CD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Особенностью образования в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является то, что оно направлено 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вовлечение максимально возможного числа детей и подростков в систематические занятия спортом;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выявление склонности и пригодности детей и подростков для дальнейших занятий спортом;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воспитание у детей и подростков устойчивого интереса к занятиям физическими упражнениями;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обеспечение повышения уровня общей и специальной физической подготовленности в соответствии с требованиями программ по видам спорта;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популяризацию видов спорта, развивающихся в школе.</w:t>
      </w:r>
    </w:p>
    <w:p w:rsidR="00F339D9" w:rsidRDefault="00D842BD" w:rsidP="00F339D9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Содержание образования в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реализуется через образовательные программы по </w:t>
      </w:r>
      <w:r w:rsidR="00F3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девяти </w:t>
      </w:r>
      <w:r w:rsidR="00F339D9"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видам спорта: </w:t>
      </w:r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боксу, дзюдо,</w:t>
      </w:r>
      <w:r w:rsidR="00F3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футбол, волей</w:t>
      </w:r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бол, вольная борьба,  каратэ </w:t>
      </w:r>
      <w:proofErr w:type="spellStart"/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киокушинкай</w:t>
      </w:r>
      <w:proofErr w:type="spellEnd"/>
      <w:r w:rsidR="00F3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842BD" w:rsidRPr="000A0FF4" w:rsidRDefault="00D842BD" w:rsidP="00F339D9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Оно направлено 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стимулирование жизненной активности;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развитие умения постановки общих целей;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развитие общих социальных интересов;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формирование и развитие коммуникативных навыков в детском коллективе.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Отличительная особенность образовательной программы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состоит в том, что в ней представлена система тренировочных заданий по физической, технической, тактической и интегральной подготовке, позволяющая успешно решать учебные задачи в соответствующих категориях учебных групп.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 условием выполнения задач обучения воспитанников является многолетняя и целенаправленная подготовка юных спортсменов, которая проводится по этапам подготовки: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этап начальной подготовки 1-3го годов обучения;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учебно-тренировочный этап 1-5го годов обучения.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Учебные программы обеспечивают решение приоритетных задач образовательного процесса на этапах подготовки.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На этапе начальной подготовки содержание образования направлено 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воспитание интереса детей к занятиям физической культурой и приобщение их к спорту;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воспитание соревновательных качеств, умений соревноваться индивидуально и коллективно;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 развитие физических качеств и способностей, характерных для выбранного вида спорта, устойчивости интереса к занятиям;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обучение основам техники по виду спорта;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выполнение контрольных нормативов по общей и специальной физической подготовке.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На учебно-тренировочном этапе проводится: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углубленное изучение и совершенствование технико-тактического мастерства по видам спорта;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развитие специфичных для избранного вида спорта физических качеств, повышение их уровня с помощью специальных средств (тренажёров и приспособлений; имитации элементов техники, движений и их сочетаний);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выполнение контрольных нормативов по общей и специальной физической, технико-тактической подготовке, практике организации учебно-тренировочных занятий и судейства соревнований.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Содержание учебно-тренировочных занятий соответствует учебным программам, разработанным и утвержденным МБОУ ДОД ДЮСШ  на основе примерных (типовых) программ по виду спорта, допущенных Государственным комитетом Российской Федерации по физической культуре и спорту. В спортивной школе реализуются учебные программы по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девяти </w:t>
      </w:r>
      <w:r w:rsidR="00F54494"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видам спорта: </w:t>
      </w:r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боксу, дзюдо, каратэ </w:t>
      </w:r>
      <w:proofErr w:type="spellStart"/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киокушинкай</w:t>
      </w:r>
      <w:proofErr w:type="spellEnd"/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футбол, волей</w:t>
      </w:r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бол, вольная борьба, Ушу </w:t>
      </w:r>
      <w:proofErr w:type="spellStart"/>
      <w:r w:rsidR="00EA1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саньда</w:t>
      </w:r>
      <w:proofErr w:type="spell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программах отражены основные принципы спортивной подготовки юных спортсменов, содержащие научно обоснованные рекомендации по построению, содержанию и организации тренировочного процесса занимающихся на разных этапах многолетней подготовки. Учебные программы включают: учебный материал по основным видам подготовки, его распределение по годам обучения; рекомендуемые объемы тренировочных и соревновательных нагрузок и планирование спортивных результатов по годам обучения; организацию и проведение педагогического и медицинского контроля, практические материалы и методические рекомендации по проведению учебно-тренировочных занятий.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Учебно-тренировочные занятия на отделениях по видам спорта проводятся в соответствии с годовым учебным планом, рассчитанным на 52 учебные недели. Годовой календарный учебный план утверждается директором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учетом мнения педагогического совета школы по согласованию с МУ «Отдел образования Администрации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городского округа «города Каспийск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РД.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и логика построения учебного плана спортивной школы отражают цели и задачи программы развития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рассчитанной на 20</w:t>
      </w:r>
      <w:r w:rsidR="009D6D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9D6D02" w:rsidRPr="009D6D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</w:t>
      </w:r>
      <w:r w:rsidR="009D6D02" w:rsidRPr="009D6D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годы, а также спортивных программ, составленных на основе нормативно-правовых документов, регулирующих деятельность спортивной школы. Действующий годовой учебный план разработан для каждого этапа спортивной подготовки по видам спорта.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Наполняемость учебных групп и объем учебно-тренировочной нагрузки определяется с учетом техники безопасности в соответствии с учебной программой по виду спорта.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Основными формами учебно-тренировочного процесса являются групповые учебно-тренировочные и теоретические занятия, работа по индивидуальным планам, медико-воспитательные мероприятия, тестирование и медицинский контроль, участие в соревнованиях, матчевых встречах, учебно-тренировочных сборах, инструкторская и судейская практика.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Перевод обучающихся в группу следующего года обучения или на этап спортивной подготовки проводится решением методического (тренерского) совета на основании стажа занятий, выполнения контрольно-переводных нормативов общей и специальной физической подготовки, а также заключения врача.</w:t>
      </w:r>
    </w:p>
    <w:p w:rsidR="00D842BD" w:rsidRPr="000A0FF4" w:rsidRDefault="00EA139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D842BD"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конце каждого учебного года проводит итоговую аттестацию в форме контрольно-переводных нормативов. На основании результатов контрольных испытаний решается вопрос об уровне подготовленности занимающихся.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Содержание </w:t>
      </w:r>
      <w:proofErr w:type="spell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</w:t>
      </w:r>
      <w:proofErr w:type="spellEnd"/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включает основные направления региональной политики и направлено на решение воспитательных задач. Содержание образования также направлено на расширение и углубление общеобразовательной подготовки учащихся в области физической культуры; обеспечивает преемственность по ступеням образования через использование специальных программ по видам спорта и организацию спортивно-массовых мероприятий.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Основными задачами спортивно-массовых мероприятий являются: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привитие воспитанникам навыков спортивной этики, организованности, дисциплины, преданности своему коллективу;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использование данных науки и передовой практики как важнейших условий совершенствования физических и волевых качеств воспитанников;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привлечение родителей и родительского актива к регулярному участию в организации спортивно-массовых мероприятий.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Теоретическая часть образовательных программ по видам спорта содержит такие темы, как: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человек как саморегулирующаяся система (содержательная линия культуры здоровья);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история развития спорта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РД.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(культурно-историческая содержательная линия);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права и обязанности воспитанников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(социально- правовая содержательная линия);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взаимовлияние природы и человека (экологическая содержательная линия);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самоорганизация и самоконтроль спортсменов (информационно-методологическая содержательная линия).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Важным аспектом является преемственность воспитательных принципов и компонентов воспитательной деятельности на этапах подготовки. Содержание воспитательной деятельности и характер взаимодействия в группах предполагает развитие школьных традиций, таких как:</w:t>
      </w:r>
    </w:p>
    <w:p w:rsidR="00D842BD" w:rsidRPr="000A0FF4" w:rsidRDefault="00D842BD" w:rsidP="00F54494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посвящение в спортсмены;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чествование спортсменов - победителей, лучших воспитанников и их родителей.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процессе организации тренерами-преподавателями воспитательной работы воспитанники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этапе начальной подготовки: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получают представление о строении, функциях своего организма; о здоровье и ЗОЖ; об оптимальном функционировании жизнедеятельности своего организма; узнают о правах на охрану своего здоровья;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учатся беречь свое здоровье, определять условия, обеспечивающие ЗОЖ;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осваивают основы культуры физического здоровья;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приобщаются к общечеловеческим духовно-нравственным ценностям; вырабатывают осознанное отношение к здоровью как условию полноценной жизни; самоорганизации ЗОЖ;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 учебно-тренировочном этапе: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понимают принципы и ценности культуры здоровья; знают о единстве физического, психического, социального и духовного здоровья и способах его сохранения;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владеют способами физического развития, </w:t>
      </w:r>
      <w:proofErr w:type="spell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самооздоровления</w:t>
      </w:r>
      <w:proofErr w:type="spell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выживания в экстремальных ситуациях; умеют организовать активный отдых, спортивные мероприятия, народные игры; ориентированные на формирование ЗОЖ;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осознают персональную ответственность за свое здоровье, ЗОЖ; признают ценность гармоничных отношений между людьми.</w:t>
      </w:r>
    </w:p>
    <w:p w:rsidR="00C412EE" w:rsidRDefault="00C412EE" w:rsidP="00C412EE">
      <w:pPr>
        <w:spacing w:before="100" w:beforeAutospacing="1" w:after="0" w:line="240" w:lineRule="auto"/>
        <w:ind w:firstLine="18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C412EE">
      <w:pPr>
        <w:spacing w:before="100" w:beforeAutospacing="1" w:after="0" w:line="240" w:lineRule="auto"/>
        <w:ind w:firstLine="18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C412EE">
      <w:pPr>
        <w:spacing w:before="100" w:beforeAutospacing="1" w:after="0" w:line="240" w:lineRule="auto"/>
        <w:ind w:firstLine="18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42BD" w:rsidRPr="00C412EE" w:rsidRDefault="00D842BD" w:rsidP="00C412EE">
      <w:pPr>
        <w:spacing w:before="100" w:beforeAutospacing="1" w:after="0" w:line="240" w:lineRule="auto"/>
        <w:ind w:firstLine="18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Особенности организации</w:t>
      </w:r>
    </w:p>
    <w:p w:rsidR="00D842BD" w:rsidRPr="002A5D1B" w:rsidRDefault="00D842BD" w:rsidP="00C412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образовательного процесса в 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профессиональной деятельности педагогического коллектива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определяется следующими факторами: специфическими особенностями занятий физической культурой и спортом, возрастными особенностями и возможностями воспитанников, уровнем подготовленности воспитанников.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основной направленностью этапов обучения определяются задачи, осуществляется подбор методов, средств, тренировочных и соревновательных режимов, построение тренировки в годичном цикле. Подбор средств и объем общей физической подготовки, специальной, технико-тактической подготовки для каждого занятия зависит от конкретных задач обучения на том или ином этапе и от условий, в которых проводится занятие. Предпочтение отдается таким методам, как: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специализации и всесторонности;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возрастающих нагрузок;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повторности;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разнообразия и новизны;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наглядности и индивидуализации.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Приоритетные задачи образовательного процесса в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реализуются на всех этапах подготовки воспитанников через традиционные формы организации учебно-тренировочной деятельности: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теоретические и практические занятия;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спортивно-массовые мероприятия;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 инструкторская и судейская практика;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открытые занятия и показательные выступления для всех участников образовательного процесса;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соревнования на уровне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города,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республики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видам спорта;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спортивные праздники, «Веселые старты», фестиваль «Юность, красота, грация – здоровая нация»;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информирование населения о результатах спортивной деятельности</w:t>
      </w:r>
      <w:r w:rsidR="00EA139D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МКУ ДО «Новолакская ДЮСШ №1»</w:t>
      </w:r>
      <w:r w:rsidR="00EA139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через СМИ.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</w:t>
      </w:r>
      <w:r w:rsidRPr="000A0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 теоретических и практических занятий используются такие формы, как: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академическая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(занятия с начинающими и слабо подготовленными воспитанниками);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учебная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(увеличено время на объяснение по технике и тактике, демонстрацию учебных видеофильмов, на сравнительный анализ выполненного упражнения и одновременной видеозаписи);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учебно-тренировочное (занятие сочетает в себе большую долю обучения с выполнением тренировочных упражнений);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тренировочная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 занятии решаются все задачи тренировки, обеспечивается достижение спортивного мастерства);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модельная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(создаются условия, моделирующие соревнование);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соревнования (занятие самого высокого уровня с точки зрения характера требований к организму спортсмена).</w:t>
      </w:r>
    </w:p>
    <w:p w:rsidR="00D842BD" w:rsidRPr="000A0FF4" w:rsidRDefault="00D842BD" w:rsidP="00B16CD8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Специфика построения образовательного процесса</w:t>
      </w:r>
      <w:r w:rsidR="00E2266F" w:rsidRPr="00E226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заключается в использовании тренерами-преподавателями педагогических технологий, направленных на достижение результата образованности воспитанников и осуществляется через личностно-ориентированный подход в учебно-тренировочном процессе, обеспечивающий ребенку развитие его индивидуального сознания и его коррекцию. В качестве основных педагогических технологий, которые позволяют достичь положительного результата, выбраны: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«Технология воспитания в коллективе». Данная технология помогает воспитанникам адаптироваться к внешним условиям, регуляции своего поведения во время тренировок и на соревнованиях.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«Технология и методика индивидуального рефлексивного воспитания». Данная технология используется тренерами-преподавателями</w:t>
      </w:r>
      <w:r w:rsidR="00E2266F" w:rsidRPr="00E226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организации различных форм образовательного процесса: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дискуссий, дебатов;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просмотров видеофильмов собственных выступлений на соревнованиях;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итоговых занятий с применением анализа деятельности за определенный период;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привлечения детей к судейству соревнований.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Целью таких мероприятий является: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проведение самоанализа и самооценки учебных результатов;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установление причин, мешающих более успешной деятельности;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определение путей их преодоления.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 данной технологии позволяет эффективно использовать дифференцированный подход к обучению с учетом уровня интеллектуального развития ребенка, а также его физической подготовленности, его способностей.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дальнейшего формирования и развития потребностей в здоровом образе жизни предполагается использовать: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беседы о здоровом образе жизни;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комплекс закаливающих мероприятий (занятие на свежем воздухе, походы);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комплекс восстановительных мероприятий (использование массажа и </w:t>
      </w:r>
      <w:proofErr w:type="spell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самомассажа</w:t>
      </w:r>
      <w:proofErr w:type="spell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использование дыхательной гимнастики);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народные игры, упражнения из других видов спорта,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проведение самостоятельных занятий воспитанниками;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ведение дневников самоконтроля.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коммуникативных навыков воспитанников</w:t>
      </w:r>
      <w:r w:rsidR="00E2266F" w:rsidRPr="00E226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осуществляется на всех этапах обучения. На каждом этапе образовательный проце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сс стр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оится с учетом индивидуальных, возрастных и половых особенностей детей: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 группах начальной подготовки с целью развития речевой и коммуникативной компетентности на занятиях используются разнообразные эстафеты, подвижные игры, игры с элементами различных видов спорта. При проведении занятий акцент делается на создание положительного эмоционального фона. Теоретические занятия проходят в виде бесед, лекций с просмотром видеофильмов;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 учебно-тренировочных группах широко используется спектр технических приемов на основе вариативности: тренировка основных тактических комбинаций, участие в соревнованиях, ведение дневников самоконтроля.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достижения высоких спортивных результатов воспитанниками необходимо развитие и воспитание психологических качеств и способностей, поэтому на протяжении многолетнего обучения в</w:t>
      </w:r>
      <w:r w:rsidR="00E2266F" w:rsidRPr="00E226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воспитанниками проводится работа по психологической подготовке: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психолого-педагогические приемы: беседы, лекции, просмотр соревнований и тренировок сильнейших игроков сборных команд;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практические средства: подвижные игры, эстафеты, спортивные развлечения, игры с определенными установками тренера.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реализации прав участников образовательного процесса и расширения знаний по правовой культуре в МБОУ ДОД ДЮСШ проводятся: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 изучение документов, определяющих права ребенка (Устав,</w:t>
      </w:r>
      <w:r w:rsidR="00E2266F" w:rsidRPr="00E226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Конвенция ООН о правах ребенка, Закон «Об образовании»);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проведение бесед по темам: «О правилах и нормах общения», «Действия воспитанников при ЧС» и др.;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изучение правил поведения воспитанников;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организация углубленного медицинского осмотра;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проведение мониторинга уровня знаний по правовой культуре.</w:t>
      </w:r>
    </w:p>
    <w:p w:rsidR="00C412EE" w:rsidRDefault="00C412EE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42BD" w:rsidRPr="002A5D1B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Этапы и формы контроля</w:t>
      </w:r>
    </w:p>
    <w:p w:rsidR="00D842BD" w:rsidRPr="000A0FF4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Основными показателями в оценивании результатов развития воспитанников является выполнение контрольных нормативов, тестов, по общей и специальной, теоретической подготовке в группах начальной подготовки, в соответствии с нормативными требованиями учебных программ по видам спорта.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Прием контрольных нормативов проводится два раза в год: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входные тесты по общей физической и теоретической подготовке;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итоговые тесты по общей физической и теоретической подготовке.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Утверждение контрольных нормативов определяются методическим советом в соответствии с учебной программой по каждому виду спорта, рабочей программой тренера-преподавателя и утверждаются приказом директора.</w:t>
      </w:r>
    </w:p>
    <w:p w:rsidR="00D842BD" w:rsidRPr="000A0FF4" w:rsidRDefault="00D842BD" w:rsidP="00B4724A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учебно-тренировочных группах при оценивании результата развития и достижений воспитанников учитывается также выполнение нормативных требований по присвоению спортивных разрядов Всероссийской единой спортивной классификации в соответствии с требованиями по годам обучения. </w:t>
      </w:r>
    </w:p>
    <w:p w:rsidR="00C412EE" w:rsidRDefault="00C412EE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42BD" w:rsidRPr="002A5D1B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Особенности программно-методического оснащения</w:t>
      </w:r>
    </w:p>
    <w:p w:rsidR="00D842BD" w:rsidRPr="002A5D1B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образовательного процесса</w:t>
      </w:r>
    </w:p>
    <w:p w:rsidR="00D842BD" w:rsidRPr="000A0FF4" w:rsidRDefault="00D842BD" w:rsidP="002A5D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="002A5D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с Лицензией основным направлением деятельности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является физкультурно-спортивное направление, которое реализуется по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девяти </w:t>
      </w:r>
      <w:r w:rsidR="00F54494"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видам спорта: </w:t>
      </w:r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боксу, дзюдо, </w:t>
      </w:r>
      <w:proofErr w:type="spellStart"/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тхэквондо</w:t>
      </w:r>
      <w:proofErr w:type="spellEnd"/>
      <w:r w:rsidR="00F54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армейский рукопашный бой, шахматы, футбол, волейбол, вольная борьба, джиу-джитсу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Все виды спорта обеспечены учебными программами. Из них:</w:t>
      </w:r>
    </w:p>
    <w:p w:rsidR="00D842BD" w:rsidRDefault="00D842BD" w:rsidP="00EA2D63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государственных </w:t>
      </w:r>
      <w:r w:rsidR="00EA2D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(по боксу, дзюдо,  каратэ </w:t>
      </w:r>
      <w:proofErr w:type="spellStart"/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киокушинкай</w:t>
      </w:r>
      <w:proofErr w:type="spellEnd"/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A2D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футбол, волейбол, во</w:t>
      </w:r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льная борьба,  ушу </w:t>
      </w:r>
      <w:proofErr w:type="spellStart"/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саньда</w:t>
      </w:r>
      <w:proofErr w:type="spellEnd"/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End"/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Учебно-методический комплекс спортивной школы для воспитанников состоит 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учебных пособий;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наборов </w:t>
      </w:r>
      <w:proofErr w:type="spell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разноуровневых</w:t>
      </w:r>
      <w:proofErr w:type="spell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заданий;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методических пособий;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проверочных заданий (тестов, </w:t>
      </w:r>
      <w:r w:rsidR="002E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опросников);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справочников, хрестоматийных текстов;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средств наглядности: плакатов, стендов, таблиц, инструкций, графиков.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Учебно-методический комплекс спортивной школы для тренера-преподавателя состоит </w:t>
      </w:r>
      <w:proofErr w:type="gram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="00EA2D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типовых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 по видам спорта;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рабочих программ тренеров-преподавателей;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дидактических материалов и методических рекомендаций;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планов (учебно-тематических, рабочих, поурочных и развернутых планов занятий);</w:t>
      </w:r>
    </w:p>
    <w:p w:rsidR="00D842BD" w:rsidRPr="000A0FF4" w:rsidRDefault="00D842BD" w:rsidP="00EA2D63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учебных пособий по видам спорта, психологии и медицине, педагогике, управлению образовательным процессом;</w:t>
      </w:r>
    </w:p>
    <w:p w:rsidR="00D842BD" w:rsidRPr="000A0FF4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 наборов </w:t>
      </w:r>
      <w:proofErr w:type="spellStart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разноуровневых</w:t>
      </w:r>
      <w:proofErr w:type="spellEnd"/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заданий;</w:t>
      </w:r>
    </w:p>
    <w:p w:rsidR="00D842BD" w:rsidRPr="00B16CD8" w:rsidRDefault="00D842BD" w:rsidP="00B16CD8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6C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видеокассет.</w:t>
      </w:r>
    </w:p>
    <w:p w:rsidR="00C412EE" w:rsidRDefault="00C412EE" w:rsidP="00B16CD8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B16CD8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42BD" w:rsidRPr="002A5D1B" w:rsidRDefault="00D842BD" w:rsidP="00B16CD8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Особенности управления реализацией образовательной программы</w:t>
      </w:r>
    </w:p>
    <w:p w:rsidR="00D842BD" w:rsidRPr="002A5D1B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A5D1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Нормативный блок</w:t>
      </w:r>
    </w:p>
    <w:tbl>
      <w:tblPr>
        <w:tblW w:w="142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3137"/>
        <w:gridCol w:w="11161"/>
      </w:tblGrid>
      <w:tr w:rsidR="00D842BD" w:rsidRPr="000A0FF4" w:rsidTr="002E3B30">
        <w:trPr>
          <w:trHeight w:val="336"/>
          <w:tblCellSpacing w:w="0" w:type="dxa"/>
        </w:trPr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Документы, обеспечивающие эффективность реализации образовательной программы</w:t>
            </w:r>
          </w:p>
        </w:tc>
        <w:tc>
          <w:tcPr>
            <w:tcW w:w="1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документа</w:t>
            </w:r>
          </w:p>
        </w:tc>
      </w:tr>
      <w:tr w:rsidR="00D842BD" w:rsidRPr="000A0FF4" w:rsidTr="002E3B30">
        <w:trPr>
          <w:trHeight w:val="1392"/>
          <w:tblCellSpacing w:w="0" w:type="dxa"/>
        </w:trPr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EA2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Устав МБОУ ДОД ДЮСШ </w:t>
            </w:r>
          </w:p>
        </w:tc>
        <w:tc>
          <w:tcPr>
            <w:tcW w:w="1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C412EE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Определяет:</w:t>
            </w:r>
          </w:p>
          <w:p w:rsidR="00D842BD" w:rsidRPr="00C412EE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роль администрации в управлении учреждением;</w:t>
            </w:r>
          </w:p>
          <w:p w:rsidR="00D842BD" w:rsidRPr="00C412EE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права и обязанности всех участников образовательного процесса;</w:t>
            </w:r>
          </w:p>
          <w:p w:rsidR="00D842BD" w:rsidRPr="00C412EE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деятельности методических структур;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содержание деятельности родительских и ученических органов </w:t>
            </w:r>
            <w:proofErr w:type="spellStart"/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соуправления</w:t>
            </w:r>
            <w:proofErr w:type="spellEnd"/>
            <w:r w:rsidRPr="00C41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D842BD" w:rsidRPr="000A0FF4" w:rsidTr="002E3B30">
        <w:trPr>
          <w:trHeight w:val="348"/>
          <w:tblCellSpacing w:w="0" w:type="dxa"/>
        </w:trPr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Программа развития</w:t>
            </w:r>
          </w:p>
        </w:tc>
        <w:tc>
          <w:tcPr>
            <w:tcW w:w="1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приоритеты деятельности </w:t>
            </w:r>
            <w:r w:rsidR="00E2266F" w:rsidRPr="00EA13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МКУ ДО «Новолакская ДЮСШ №1»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структуру управления реализацией программы развития;</w:t>
            </w:r>
          </w:p>
        </w:tc>
      </w:tr>
      <w:tr w:rsidR="00D842BD" w:rsidRPr="000A0FF4" w:rsidTr="002A5D1B">
        <w:trPr>
          <w:trHeight w:val="3071"/>
          <w:tblCellSpacing w:w="0" w:type="dxa"/>
        </w:trPr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D311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Учебный план</w:t>
            </w:r>
          </w:p>
        </w:tc>
        <w:tc>
          <w:tcPr>
            <w:tcW w:w="1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приоритетные задачи образовательного процесса;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организации образовательного процесса;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наполнение учебного плана;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годовой календарный график;</w:t>
            </w:r>
          </w:p>
          <w:p w:rsidR="00D842BD" w:rsidRPr="00D31149" w:rsidRDefault="00D842BD" w:rsidP="00D31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распределение учебной нагрузки</w:t>
            </w:r>
          </w:p>
        </w:tc>
      </w:tr>
      <w:tr w:rsidR="00D842BD" w:rsidRPr="000A0FF4" w:rsidTr="002E3B30">
        <w:trPr>
          <w:trHeight w:val="60"/>
          <w:tblCellSpacing w:w="0" w:type="dxa"/>
        </w:trPr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Положение о спортивно-массовых мероприятиях</w:t>
            </w:r>
          </w:p>
        </w:tc>
        <w:tc>
          <w:tcPr>
            <w:tcW w:w="1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цели, задачи мероприятия;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сроки и место проведения;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участников мероприятия;</w:t>
            </w:r>
          </w:p>
          <w:p w:rsidR="00D842BD" w:rsidRPr="000A0FF4" w:rsidRDefault="00D842BD" w:rsidP="00B16CD8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программу проведения соревнований;</w:t>
            </w:r>
          </w:p>
        </w:tc>
      </w:tr>
    </w:tbl>
    <w:p w:rsidR="00D842BD" w:rsidRPr="000A0FF4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Управление реализацией образовательной программы</w:t>
      </w:r>
      <w:r w:rsidR="00E2266F" w:rsidRPr="00E226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содержит поэтапный контроль, систему отслеживания и фиксации результатов, методику оценки. Особенностью управления образова</w:t>
      </w:r>
      <w:r w:rsidR="00E22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тельным процессом в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  <w:r w:rsidR="00E2266F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является привлечение родителей к оцениванию результатов образования воспитанников, привлечение воспитанников к с</w:t>
      </w:r>
      <w:r w:rsidR="00071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</w:t>
      </w: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оуправлению. </w:t>
      </w: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412EE" w:rsidRDefault="00C412EE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842BD" w:rsidRPr="00D31149" w:rsidRDefault="00D842BD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Показатели</w:t>
      </w:r>
    </w:p>
    <w:p w:rsidR="00D842BD" w:rsidRPr="00D31149" w:rsidRDefault="00D842BD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оценки деятельности педагогического коллектива по реализации</w:t>
      </w:r>
    </w:p>
    <w:p w:rsidR="00D842BD" w:rsidRPr="00D31149" w:rsidRDefault="00D842BD" w:rsidP="00D311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образовательной программы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</w:p>
    <w:tbl>
      <w:tblPr>
        <w:tblW w:w="148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690"/>
        <w:gridCol w:w="3990"/>
        <w:gridCol w:w="10185"/>
      </w:tblGrid>
      <w:tr w:rsidR="00D842BD" w:rsidRPr="000A0FF4" w:rsidTr="00EA2D63">
        <w:trPr>
          <w:trHeight w:val="30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ind w:right="23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</w:tc>
      </w:tr>
      <w:tr w:rsidR="00D842BD" w:rsidRPr="000A0FF4" w:rsidTr="00EA2D63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образовательного процесса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работы по сохранению и укреплению здоровья воспитанников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2E3B3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работы по реализации прав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ребёнка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0D8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Планирование работы (планы воспитательной, спортивно-массовой работы, конспекты занятий, положения).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Качество</w:t>
            </w:r>
          </w:p>
          <w:p w:rsidR="00D842BD" w:rsidRPr="000A0FF4" w:rsidRDefault="00D842BD" w:rsidP="00B16CD8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планов (образовательной, воспитательной, спортивно-массовой работы)</w:t>
            </w:r>
          </w:p>
          <w:p w:rsidR="00FE40D8" w:rsidRDefault="00D842BD" w:rsidP="00B16CD8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мероприятий, проводимых педагогическим коллективом (занятий, соревнований, спортивных праздников)</w:t>
            </w:r>
          </w:p>
          <w:p w:rsidR="00D842BD" w:rsidRPr="00FE40D8" w:rsidRDefault="00D842BD" w:rsidP="00B16CD8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и качество оформления документации по ТБ, ПБ, ПДД и ЧС.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в журнале и качество проведения инструктажа по ТБ и ПБ.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Качество:</w:t>
            </w:r>
          </w:p>
          <w:p w:rsidR="00D842BD" w:rsidRPr="000A0FF4" w:rsidRDefault="00D842BD" w:rsidP="00B16CD8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и прохождения медицинского осмотра воспитанниками;</w:t>
            </w:r>
          </w:p>
          <w:p w:rsidR="00D842BD" w:rsidRPr="000A0FF4" w:rsidRDefault="00D842BD" w:rsidP="00B16CD8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врачебно – педагогического контроля воспитанников.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профилактической работы (беседы, восстановительные мероприятия).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Качество работы с воспитанниками по изучению нормативных документов о правах ребёнка (анкетирование, наблюдение, собеседование).</w:t>
            </w:r>
          </w:p>
          <w:p w:rsidR="00D842BD" w:rsidRPr="000A0FF4" w:rsidRDefault="00D842BD" w:rsidP="00E22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Изучение нормативной документации, определяющей права ребёнка в </w:t>
            </w:r>
            <w:r w:rsidR="00E2266F" w:rsidRPr="00EA13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МКУ ДО «Новолакская ДЮСШ №1»</w:t>
            </w:r>
          </w:p>
        </w:tc>
      </w:tr>
      <w:tr w:rsidR="00D842BD" w:rsidRPr="000A0FF4" w:rsidTr="00C412EE">
        <w:trPr>
          <w:trHeight w:val="1574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 методическое обеспечение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информационно- методического обеспечения образовательного процесса;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методической готовности тренеров-преподавателей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Участие педагогических работников: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методической работе школы;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обобщении и распространении передового педагогического опыта.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Повышение квалификации: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участие в городских методических семинарах, педагогических чтениях;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обучение на курсах повышения квалификации;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уровень самообразования.</w:t>
            </w:r>
          </w:p>
        </w:tc>
      </w:tr>
      <w:tr w:rsidR="00D842BD" w:rsidRPr="000A0FF4" w:rsidTr="00EA2D63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 аналитические условия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B30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и качество аналитических материалов.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и проведение: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аттестации воспитанников;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контроля </w:t>
            </w:r>
            <w:r w:rsidR="000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физическим развитием воспитанников;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Развитие личностных качеств воспитанников.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Выполнение рекомендаций по итогам контроля.</w:t>
            </w:r>
          </w:p>
        </w:tc>
      </w:tr>
      <w:tr w:rsidR="00D842BD" w:rsidRPr="000A0FF4" w:rsidTr="00EA2D63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 технические условия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Сохранность спортивного инвентаря и оборудования.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Участие в развитии материально-технической базы.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Привлечение спонсорских сре</w:t>
            </w:r>
            <w:proofErr w:type="gram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участия обучающихся в соревнованиях и т.д.</w:t>
            </w:r>
          </w:p>
        </w:tc>
      </w:tr>
      <w:tr w:rsidR="00D842BD" w:rsidRPr="000A0FF4" w:rsidTr="00EA2D63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образовательного процесса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Сохранность контингента воспитанников.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Сохранность здоровья воспитанников.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Полнота реализации учебных программ, планов.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развития детского коллектива (наличие традиций).</w:t>
            </w:r>
          </w:p>
        </w:tc>
      </w:tr>
      <w:tr w:rsidR="00D842BD" w:rsidRPr="000A0FF4" w:rsidTr="00EA2D63">
        <w:trPr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образования</w:t>
            </w:r>
          </w:p>
        </w:tc>
        <w:tc>
          <w:tcPr>
            <w:tcW w:w="10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Динамика развития физических и личностных качеств воспитанников (по трём составляющим образованности).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Динамика спортивных достижений воспитанников.</w:t>
            </w:r>
          </w:p>
        </w:tc>
      </w:tr>
    </w:tbl>
    <w:p w:rsidR="00D842BD" w:rsidRPr="00C412EE" w:rsidRDefault="00D842BD" w:rsidP="00C412EE">
      <w:pPr>
        <w:tabs>
          <w:tab w:val="left" w:pos="6408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2BD" w:rsidRPr="00D31149" w:rsidRDefault="00D842BD" w:rsidP="00C412EE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Методика оценивания</w:t>
      </w:r>
    </w:p>
    <w:p w:rsidR="00D842BD" w:rsidRPr="00D31149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результата реализации образовательной программы </w:t>
      </w:r>
      <w:r w:rsidR="00E2266F" w:rsidRPr="00EA139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МКУ ДО «Новолакская ДЮСШ №1»</w:t>
      </w:r>
    </w:p>
    <w:p w:rsidR="00D842BD" w:rsidRPr="00D31149" w:rsidRDefault="00E2266F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2015-2016</w:t>
      </w:r>
      <w:r w:rsidR="00D842B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D842B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уч</w:t>
      </w:r>
      <w:proofErr w:type="spellEnd"/>
      <w:r w:rsidR="00D842BD" w:rsidRPr="00D311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годы</w:t>
      </w:r>
    </w:p>
    <w:p w:rsidR="00D842BD" w:rsidRPr="000A0FF4" w:rsidRDefault="00D842BD" w:rsidP="00B16C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572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472"/>
        <w:gridCol w:w="1894"/>
        <w:gridCol w:w="3080"/>
        <w:gridCol w:w="3068"/>
        <w:gridCol w:w="2096"/>
        <w:gridCol w:w="1695"/>
        <w:gridCol w:w="1449"/>
        <w:gridCol w:w="1967"/>
      </w:tblGrid>
      <w:tr w:rsidR="00D842BD" w:rsidRPr="000A0FF4" w:rsidTr="00B16CD8">
        <w:trPr>
          <w:trHeight w:val="117"/>
          <w:tblCellSpacing w:w="0" w:type="dxa"/>
        </w:trPr>
        <w:tc>
          <w:tcPr>
            <w:tcW w:w="47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30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способы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сбора информации</w:t>
            </w:r>
          </w:p>
        </w:tc>
        <w:tc>
          <w:tcPr>
            <w:tcW w:w="20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сбора и оценки информации</w:t>
            </w:r>
          </w:p>
        </w:tc>
        <w:tc>
          <w:tcPr>
            <w:tcW w:w="3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D842BD" w:rsidRPr="000A0FF4" w:rsidTr="00B16CD8">
        <w:trPr>
          <w:trHeight w:val="117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D842BD" w:rsidP="00B1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D842BD" w:rsidP="00B1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D842BD" w:rsidP="00B1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D842BD" w:rsidP="00B1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D842BD" w:rsidP="00B1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42BD" w:rsidRPr="000A0FF4" w:rsidRDefault="00D842BD" w:rsidP="00B16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D842BD" w:rsidRPr="000A0FF4" w:rsidTr="00B16CD8">
        <w:trPr>
          <w:trHeight w:val="535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Психолого-педагогичес-кие</w:t>
            </w:r>
            <w:proofErr w:type="spell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071E66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созданных психолога</w:t>
            </w:r>
            <w:r w:rsidR="00D842BD"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педагогических условий: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планирование работы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образовательной</w:t>
            </w:r>
            <w:proofErr w:type="gram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воспитательной, спортивно- массовой, конспекты занятий, положения).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Качество проведения педагогическим коллективом мероприятий различного уровня (учебно-тренировочных занятий, соревнований, спортивных праздников).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Качество аналитической деятельности тренеров- преподавателей.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психолого-педагогических условий: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реализации планов тренеров-преподавателей,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 соревнований;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анкетирование воспитанников;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 с педагогами;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Журналы, планы работы;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анкеты, протоколы соревнований;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справки, результаты собеседований;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сентябрь, апрель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</w:t>
            </w:r>
          </w:p>
        </w:tc>
      </w:tr>
      <w:tr w:rsidR="00D842BD" w:rsidRPr="000A0FF4" w:rsidTr="00B16CD8">
        <w:trPr>
          <w:trHeight w:val="719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сохранению и укреплению здоровья воспитанников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 качество оформления документации по ТБ, ПБ, ПДД.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проведения и наличие отметки в журнале о проведении инструктажа по ТБ, ПБ, ПДД.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организации и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проведения медицинского контроля (на УТЗ и УМО).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организации и проведения профилактической (беседы, восстановительные мероприятия) и коррекционной (рекомендации, упражнения и т.д.) работы.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</w:t>
            </w:r>
            <w:proofErr w:type="spell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САНПиНа</w:t>
            </w:r>
            <w:proofErr w:type="spell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Изучение документации: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ТБ, ПБ, ПДД;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по результатам УМО.</w:t>
            </w:r>
          </w:p>
          <w:p w:rsidR="000A0FF4" w:rsidRDefault="000A0FF4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Изучение деятельности тренеров-преподавателей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(посещение занятий, собеседование с воспитанниками).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Журналы</w:t>
            </w:r>
          </w:p>
          <w:p w:rsid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Аналитические справки о результатах УМО, планы работы,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наблюдения, отчеты о работе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Таблица, аналитическая справка, информационные стандарты.</w:t>
            </w:r>
          </w:p>
        </w:tc>
      </w:tr>
      <w:tr w:rsidR="00D842BD" w:rsidRPr="000A0FF4" w:rsidTr="00B16CD8">
        <w:trPr>
          <w:trHeight w:val="282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реализации прав ребенка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организации работы по изучению нормативных документов по правам ребёнка тренерами- преподавателями.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организации работы по изучению нормативных документов по правам ребёнка с воспитанниками.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 ребёнка в образовательном процессе.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педагогической деятельности: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посещение занятий;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планов;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анкетирование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воспитанников;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условий организации образовательного процесса.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документация, анкеты, отчеты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сентябрь, май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Аналитичес-кая</w:t>
            </w:r>
            <w:proofErr w:type="spellEnd"/>
            <w:proofErr w:type="gram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справка</w:t>
            </w:r>
          </w:p>
        </w:tc>
      </w:tr>
      <w:tr w:rsidR="00D842BD" w:rsidRPr="000A0FF4" w:rsidTr="00B16CD8">
        <w:trPr>
          <w:trHeight w:val="476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информационно- методического обеспечения образовательного процесса.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методической готовности тренеров- преподавателей (участие тренеров-преподавателей в методической работе школы, в обобщении и распространении передового педагогического опыта).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педагогической деятельности тренеров-преподавателей: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работы над методической темой;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реализации рабочей программы;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методической работы;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программно- методического обеспечения;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анкетирование.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Собеседование,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учебной документации, анкеты, анализ информации, полученной тренером – преподавателем при анкетировании, планы самообразования.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ноябрь, июнь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Таблица, информационные стандарты</w:t>
            </w:r>
          </w:p>
        </w:tc>
      </w:tr>
      <w:tr w:rsidR="00D842BD" w:rsidRPr="000A0FF4" w:rsidTr="00B16CD8">
        <w:trPr>
          <w:trHeight w:val="117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аналитическая деятельность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и качество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аналитических материалов.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образования воспитанников: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развитие физических качеств;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развитие личностных качеств.</w:t>
            </w:r>
          </w:p>
          <w:p w:rsidR="00D842BD" w:rsidRPr="000A0FF4" w:rsidRDefault="00D842BD" w:rsidP="00071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контроля</w:t>
            </w:r>
            <w:r w:rsidR="000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над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процедурой диагностики уровня развития воспитанников и оформлением результатов диагностики.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Изучение аналитических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материалов, протоколов аттестации воспитанников, протоколов и отчетов по соревнованиям, составление статистических отчетов, карт анализа посещенных занятий.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Аналитические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справки, протоколы и отчеты по аттестации воспитанников, протоколы и отчеты по соревнованиям.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раз в год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январь, май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Аналитичес-кая</w:t>
            </w:r>
            <w:proofErr w:type="spellEnd"/>
            <w:proofErr w:type="gramEnd"/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справка, таблица, график.</w:t>
            </w:r>
          </w:p>
        </w:tc>
      </w:tr>
      <w:tr w:rsidR="00D842BD" w:rsidRPr="000A0FF4" w:rsidTr="00B16CD8">
        <w:trPr>
          <w:trHeight w:val="2955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образовательного процесса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Сохранность контингента воспитанников. Сохранение и укрепление здоровья воспитанников.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реализации учебных программ, планов.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организации спортивно-массовых мероприятий.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деятельностью воспитанников,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воспитанниками,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анкетирование,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занятий, спортивно-массовых мероприятий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наблюдения,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приказов на зачисление и отчисление воспитанников, журналы, протоколы соревнований, аналитическая справка прохождения УМО воспитанниками, анкеты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январь, май</w:t>
            </w: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Таблицы, графики, информационные стандарты, аналитические справки</w:t>
            </w:r>
          </w:p>
        </w:tc>
      </w:tr>
      <w:tr w:rsidR="00D842BD" w:rsidRPr="000A0FF4" w:rsidTr="00B16CD8">
        <w:trPr>
          <w:trHeight w:val="1783"/>
          <w:tblCellSpacing w:w="0" w:type="dxa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образованности</w:t>
            </w:r>
          </w:p>
        </w:tc>
        <w:tc>
          <w:tcPr>
            <w:tcW w:w="3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развития физических и личностных качеств воспитанников (по трём составляющим),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спортивных достижений</w:t>
            </w:r>
          </w:p>
        </w:tc>
        <w:tc>
          <w:tcPr>
            <w:tcW w:w="3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Диагностика,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 воспитанников, изучение дневников наблюдений тренеров- преподавателей</w:t>
            </w:r>
          </w:p>
          <w:p w:rsidR="00D842BD" w:rsidRPr="000A0FF4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FE40D8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Анкеты, протоколы диагностики. Дневники наблюдений тренеров- преподавателей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D842BD" w:rsidRPr="000A0FF4" w:rsidRDefault="00D842BD" w:rsidP="00B16C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0D8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январь, май</w:t>
            </w:r>
          </w:p>
          <w:p w:rsidR="00D842BD" w:rsidRPr="00FE40D8" w:rsidRDefault="00D842BD" w:rsidP="00B16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2BD" w:rsidRPr="00FE40D8" w:rsidRDefault="00D842BD" w:rsidP="00B16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Таблицы, диаграммы, аналитическая справка</w:t>
            </w:r>
          </w:p>
        </w:tc>
      </w:tr>
    </w:tbl>
    <w:p w:rsidR="00D842BD" w:rsidRPr="000A0FF4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842BD" w:rsidRPr="000A0FF4" w:rsidRDefault="00D842BD" w:rsidP="00B16C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0F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B31DA" w:rsidRPr="009D6D02" w:rsidRDefault="00FB31DA" w:rsidP="009D6D0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sectPr w:rsidR="00FB31DA" w:rsidRPr="009D6D02" w:rsidSect="00C412EE">
      <w:pgSz w:w="16838" w:h="11906" w:orient="landscape" w:code="9"/>
      <w:pgMar w:top="426" w:right="53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CDA" w:rsidRDefault="006E2CDA" w:rsidP="00B16CD8">
      <w:pPr>
        <w:spacing w:after="0" w:line="240" w:lineRule="auto"/>
      </w:pPr>
      <w:r>
        <w:separator/>
      </w:r>
    </w:p>
  </w:endnote>
  <w:endnote w:type="continuationSeparator" w:id="1">
    <w:p w:rsidR="006E2CDA" w:rsidRDefault="006E2CDA" w:rsidP="00B1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CDA" w:rsidRDefault="006E2CDA" w:rsidP="00B16CD8">
      <w:pPr>
        <w:spacing w:after="0" w:line="240" w:lineRule="auto"/>
      </w:pPr>
      <w:r>
        <w:separator/>
      </w:r>
    </w:p>
  </w:footnote>
  <w:footnote w:type="continuationSeparator" w:id="1">
    <w:p w:rsidR="006E2CDA" w:rsidRDefault="006E2CDA" w:rsidP="00B1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7E5"/>
    <w:multiLevelType w:val="multilevel"/>
    <w:tmpl w:val="837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A394D"/>
    <w:multiLevelType w:val="multilevel"/>
    <w:tmpl w:val="DF58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31AD1"/>
    <w:multiLevelType w:val="multilevel"/>
    <w:tmpl w:val="D4E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53E63"/>
    <w:multiLevelType w:val="multilevel"/>
    <w:tmpl w:val="501A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C0A8E"/>
    <w:multiLevelType w:val="multilevel"/>
    <w:tmpl w:val="26B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D1591"/>
    <w:multiLevelType w:val="multilevel"/>
    <w:tmpl w:val="D29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E68E4"/>
    <w:multiLevelType w:val="multilevel"/>
    <w:tmpl w:val="917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A16E6"/>
    <w:multiLevelType w:val="multilevel"/>
    <w:tmpl w:val="711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BD"/>
    <w:rsid w:val="00071E66"/>
    <w:rsid w:val="000A0FF4"/>
    <w:rsid w:val="001039A6"/>
    <w:rsid w:val="001C3662"/>
    <w:rsid w:val="001C794C"/>
    <w:rsid w:val="00266CC4"/>
    <w:rsid w:val="002A5D1B"/>
    <w:rsid w:val="002E3B30"/>
    <w:rsid w:val="0039179C"/>
    <w:rsid w:val="0041560F"/>
    <w:rsid w:val="004A7CD0"/>
    <w:rsid w:val="00527BB8"/>
    <w:rsid w:val="006E2CDA"/>
    <w:rsid w:val="00742697"/>
    <w:rsid w:val="007C4D6F"/>
    <w:rsid w:val="008C7AA3"/>
    <w:rsid w:val="009D6D02"/>
    <w:rsid w:val="00B16CD8"/>
    <w:rsid w:val="00B4724A"/>
    <w:rsid w:val="00BC5046"/>
    <w:rsid w:val="00BD6CAC"/>
    <w:rsid w:val="00C017D4"/>
    <w:rsid w:val="00C412EE"/>
    <w:rsid w:val="00D31149"/>
    <w:rsid w:val="00D842BD"/>
    <w:rsid w:val="00DB6EE8"/>
    <w:rsid w:val="00E2266F"/>
    <w:rsid w:val="00E418C9"/>
    <w:rsid w:val="00EA139D"/>
    <w:rsid w:val="00EA2D63"/>
    <w:rsid w:val="00F339D9"/>
    <w:rsid w:val="00F54494"/>
    <w:rsid w:val="00FB31DA"/>
    <w:rsid w:val="00FE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DA"/>
  </w:style>
  <w:style w:type="paragraph" w:styleId="2">
    <w:name w:val="heading 2"/>
    <w:basedOn w:val="a"/>
    <w:link w:val="20"/>
    <w:uiPriority w:val="9"/>
    <w:qFormat/>
    <w:rsid w:val="00D84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C5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42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42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42BD"/>
  </w:style>
  <w:style w:type="paragraph" w:styleId="a4">
    <w:name w:val="Normal (Web)"/>
    <w:basedOn w:val="a"/>
    <w:uiPriority w:val="99"/>
    <w:unhideWhenUsed/>
    <w:rsid w:val="00D8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42BD"/>
    <w:rPr>
      <w:b/>
      <w:bCs/>
    </w:rPr>
  </w:style>
  <w:style w:type="character" w:styleId="a6">
    <w:name w:val="Emphasis"/>
    <w:basedOn w:val="a0"/>
    <w:uiPriority w:val="20"/>
    <w:qFormat/>
    <w:rsid w:val="00D842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8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2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5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B1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16CD8"/>
  </w:style>
  <w:style w:type="paragraph" w:styleId="ab">
    <w:name w:val="footer"/>
    <w:basedOn w:val="a"/>
    <w:link w:val="ac"/>
    <w:uiPriority w:val="99"/>
    <w:semiHidden/>
    <w:unhideWhenUsed/>
    <w:rsid w:val="00B1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16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36ABF-BAC3-45F0-8546-EDFEE791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22</Pages>
  <Words>5399</Words>
  <Characters>30777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ника</cp:lastModifiedBy>
  <cp:revision>9</cp:revision>
  <cp:lastPrinted>2015-02-17T07:23:00Z</cp:lastPrinted>
  <dcterms:created xsi:type="dcterms:W3CDTF">2015-02-11T07:53:00Z</dcterms:created>
  <dcterms:modified xsi:type="dcterms:W3CDTF">2018-01-19T10:52:00Z</dcterms:modified>
</cp:coreProperties>
</file>